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B26">
        <w:rPr>
          <w:rFonts w:ascii="Times New Roman" w:hAnsi="Times New Roman" w:cs="Times New Roman"/>
          <w:sz w:val="24"/>
          <w:szCs w:val="24"/>
          <w:lang w:val="uk-UA"/>
        </w:rPr>
        <w:t>надати дозвіл на проведення експертної грошової оцінки земельної ділянки для продажу земельної ділянки несільськогосподарського призначення, межі якої визначено в натурі та без змін її цільового призначення, розмірами _______, площею _____ га,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831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BB175C" w:rsidRPr="00BB175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91831" w:rsidRPr="00BB17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B26">
        <w:rPr>
          <w:rFonts w:ascii="Times New Roman" w:hAnsi="Times New Roman" w:cs="Times New Roman"/>
          <w:sz w:val="24"/>
          <w:szCs w:val="24"/>
          <w:lang w:val="uk-UA"/>
        </w:rPr>
        <w:t>розташовану за адресою: _______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567AEC"/>
    <w:rsid w:val="00660373"/>
    <w:rsid w:val="00693B26"/>
    <w:rsid w:val="00BB175C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11</cp:revision>
  <dcterms:created xsi:type="dcterms:W3CDTF">2020-03-23T08:13:00Z</dcterms:created>
  <dcterms:modified xsi:type="dcterms:W3CDTF">2020-03-23T09:44:00Z</dcterms:modified>
</cp:coreProperties>
</file>